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233B2A">
      <w:pPr>
        <w:jc w:val="center"/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MNS-QT331 Infrared methane gas sensor</w:t>
      </w:r>
    </w:p>
    <w:p w14:paraId="6ECAD64E">
      <w:pPr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  <w:t>Product Description</w:t>
      </w:r>
    </w:p>
    <w:p w14:paraId="377992CE">
      <w:pPr>
        <w:jc w:val="both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-6985</wp:posOffset>
                </wp:positionH>
                <wp:positionV relativeFrom="paragraph">
                  <wp:posOffset>130175</wp:posOffset>
                </wp:positionV>
                <wp:extent cx="3638550" cy="2776220"/>
                <wp:effectExtent l="4445" t="5080" r="14605" b="1270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297940" y="1384300"/>
                          <a:ext cx="3638550" cy="27762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B30636">
                            <w:pPr>
                              <w:ind w:firstLine="210" w:firstLineChars="100"/>
                              <w:jc w:val="both"/>
                              <w:rPr>
                                <w:rFonts w:hint="default" w:ascii="Times New Roman" w:hAnsi="Times New Roman" w:cs="Times New Roman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lang w:val="en-US" w:eastAsia="zh-CN"/>
                              </w:rPr>
                              <w:t>The MNS-QT331 infrared methane gas sensor utilizes the non-dispersive infrared (NDIR) principle to detect methane gas present in the air. The sensor exhibits excellent selectivity, is oxygen-independent, and boasts stable and reliable technical parameters, along with a long product lifespan. It also features a built-in temperature compensation function.</w:t>
                            </w:r>
                          </w:p>
                          <w:p w14:paraId="047E33FF">
                            <w:pPr>
                              <w:jc w:val="both"/>
                              <w:rPr>
                                <w:rFonts w:hint="default" w:ascii="Times New Roman" w:hAnsi="Times New Roman" w:cs="Times New Roman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lang w:val="en-US" w:eastAsia="zh-CN"/>
                              </w:rPr>
                              <w:t>The MNS-QT331 infrared methane gas sensor utilizes infrared spectral absorption technology. It features a built-in micro precision gas circuit, crafted through meticulous post-processing, along with exquisite circuit design and precise academic algorithms to ensure accurate and stable signal data collection from the sensor. The product is easy to use and has a lifespan of over 5 years.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0.55pt;margin-top:10.25pt;height:218.6pt;width:286.5pt;z-index:251659264;v-text-anchor:middle;mso-width-relative:page;mso-height-relative:page;" fillcolor="#FFFFFF [3201]" filled="t" stroked="t" coordsize="21600,21600" o:gfxdata="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J9H82HZAAAACQEAAA8AAAAAAAAAAQAgAAAAIgAAAGRycy9kb3ducmV2LnhtbFBLAQIU&#10;ABQAAAAIAIdO4kD0J9iaZAIAAMYEAAAOAAAAAAAAAAEAIAAAACgBAABkcnMvZTJvRG9jLnhtbFBL&#10;BQYAAAAABgAGAFkBAAD+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DB30636">
                      <w:pPr>
                        <w:ind w:firstLine="210" w:firstLineChars="100"/>
                        <w:jc w:val="both"/>
                        <w:rPr>
                          <w:rFonts w:hint="default" w:ascii="Times New Roman" w:hAnsi="Times New Roman" w:cs="Times New Roman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lang w:val="en-US" w:eastAsia="zh-CN"/>
                        </w:rPr>
                        <w:t>The MNS-QT331 infrared methane gas sensor utilizes the non-dispersive infrared (NDIR) principle to detect methane gas present in the air. The sensor exhibits excellent selectivity, is oxygen-independent, and boasts stable and reliable technical parameters, along with a long product lifespan. It also features a built-in temperature compensation function.</w:t>
                      </w:r>
                    </w:p>
                    <w:p w14:paraId="047E33FF">
                      <w:pPr>
                        <w:jc w:val="both"/>
                        <w:rPr>
                          <w:rFonts w:hint="default" w:ascii="Times New Roman" w:hAnsi="Times New Roman" w:cs="Times New Roman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lang w:val="en-US" w:eastAsia="zh-CN"/>
                        </w:rPr>
                        <w:t>The MNS-QT331 infrared methane gas sensor utilizes infrared spectral absorption technology. It features a built-in micro precision gas circuit, crafted through meticulous post-processing, along with exquisite circuit design and precise academic algorithms to ensure accurate and stable signal data collection from the sensor. The product is easy to use and has a lifespan of over 5 years.</w:t>
                      </w:r>
                    </w:p>
                  </w:txbxContent>
                </v:textbox>
              </v:shape>
            </w:pict>
          </mc:Fallback>
        </mc:AlternateContent>
      </w:r>
    </w:p>
    <w:p w14:paraId="743DBF46">
      <w:pPr>
        <w:jc w:val="both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3821430</wp:posOffset>
            </wp:positionH>
            <wp:positionV relativeFrom="paragraph">
              <wp:posOffset>164465</wp:posOffset>
            </wp:positionV>
            <wp:extent cx="2115820" cy="2115820"/>
            <wp:effectExtent l="0" t="0" r="5080" b="5080"/>
            <wp:wrapSquare wrapText="bothSides"/>
            <wp:docPr id="10" name="图片 10" descr="ae80796d4b1725206196c6ca6021af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ae80796d4b1725206196c6ca6021af4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15820" cy="2115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BC5A9A">
      <w:pPr>
        <w:jc w:val="both"/>
        <w:rPr>
          <w:rFonts w:hint="default" w:ascii="Times New Roman" w:hAnsi="Times New Roman" w:cs="Times New Roman"/>
          <w:lang w:val="en-US" w:eastAsia="zh-CN"/>
        </w:rPr>
      </w:pPr>
    </w:p>
    <w:p w14:paraId="64436510">
      <w:pPr>
        <w:jc w:val="both"/>
        <w:rPr>
          <w:rFonts w:hint="default" w:ascii="Times New Roman" w:hAnsi="Times New Roman" w:cs="Times New Roman"/>
          <w:lang w:val="en-US" w:eastAsia="zh-CN"/>
        </w:rPr>
      </w:pPr>
    </w:p>
    <w:p w14:paraId="36092A59">
      <w:pPr>
        <w:jc w:val="both"/>
        <w:rPr>
          <w:rFonts w:hint="default" w:ascii="Times New Roman" w:hAnsi="Times New Roman" w:cs="Times New Roman"/>
          <w:lang w:val="en-US" w:eastAsia="zh-CN"/>
        </w:rPr>
      </w:pPr>
    </w:p>
    <w:p w14:paraId="1CAC0107">
      <w:pPr>
        <w:jc w:val="both"/>
        <w:rPr>
          <w:rFonts w:hint="default" w:ascii="Times New Roman" w:hAnsi="Times New Roman" w:cs="Times New Roman"/>
          <w:lang w:val="en-US" w:eastAsia="zh-CN"/>
        </w:rPr>
      </w:pPr>
    </w:p>
    <w:p w14:paraId="07099320">
      <w:pPr>
        <w:jc w:val="both"/>
        <w:rPr>
          <w:rFonts w:hint="default" w:ascii="Times New Roman" w:hAnsi="Times New Roman" w:cs="Times New Roman"/>
          <w:lang w:val="en-US" w:eastAsia="zh-CN"/>
        </w:rPr>
      </w:pPr>
    </w:p>
    <w:p w14:paraId="2F5FF30A">
      <w:pPr>
        <w:jc w:val="both"/>
        <w:rPr>
          <w:rFonts w:hint="default" w:ascii="Times New Roman" w:hAnsi="Times New Roman" w:cs="Times New Roman"/>
          <w:lang w:val="en-US" w:eastAsia="zh-CN"/>
        </w:rPr>
      </w:pPr>
    </w:p>
    <w:p w14:paraId="711B50A5">
      <w:pPr>
        <w:jc w:val="both"/>
        <w:rPr>
          <w:rFonts w:hint="default" w:ascii="Times New Roman" w:hAnsi="Times New Roman" w:cs="Times New Roman"/>
          <w:lang w:val="en-US" w:eastAsia="zh-CN"/>
        </w:rPr>
      </w:pPr>
    </w:p>
    <w:p w14:paraId="555450CA">
      <w:pPr>
        <w:jc w:val="both"/>
        <w:rPr>
          <w:rFonts w:hint="default" w:ascii="Times New Roman" w:hAnsi="Times New Roman" w:cs="Times New Roman"/>
          <w:lang w:val="en-US" w:eastAsia="zh-CN"/>
        </w:rPr>
      </w:pPr>
    </w:p>
    <w:p w14:paraId="24242070">
      <w:pPr>
        <w:jc w:val="both"/>
        <w:rPr>
          <w:rFonts w:hint="default" w:ascii="Times New Roman" w:hAnsi="Times New Roman" w:cs="Times New Roman"/>
          <w:lang w:val="en-US" w:eastAsia="zh-CN"/>
        </w:rPr>
      </w:pPr>
    </w:p>
    <w:p w14:paraId="69FB1620">
      <w:pPr>
        <w:jc w:val="both"/>
        <w:rPr>
          <w:rFonts w:hint="default" w:ascii="Times New Roman" w:hAnsi="Times New Roman" w:cs="Times New Roman"/>
          <w:lang w:val="en-US" w:eastAsia="zh-CN"/>
        </w:rPr>
      </w:pPr>
    </w:p>
    <w:p w14:paraId="40B4B697">
      <w:pPr>
        <w:jc w:val="both"/>
        <w:rPr>
          <w:rFonts w:hint="default" w:ascii="Times New Roman" w:hAnsi="Times New Roman" w:cs="Times New Roman"/>
          <w:lang w:val="en-US" w:eastAsia="zh-CN"/>
        </w:rPr>
      </w:pPr>
    </w:p>
    <w:p w14:paraId="5611883F">
      <w:pPr>
        <w:jc w:val="both"/>
        <w:rPr>
          <w:rFonts w:hint="default" w:ascii="Times New Roman" w:hAnsi="Times New Roman" w:cs="Times New Roman"/>
          <w:lang w:val="en-US" w:eastAsia="zh-CN"/>
        </w:rPr>
      </w:pPr>
    </w:p>
    <w:p w14:paraId="6563BD7D">
      <w:pPr>
        <w:jc w:val="both"/>
        <w:rPr>
          <w:rFonts w:hint="default" w:ascii="Times New Roman" w:hAnsi="Times New Roman" w:cs="Times New Roman"/>
          <w:lang w:val="en-US" w:eastAsia="zh-CN"/>
        </w:rPr>
      </w:pPr>
    </w:p>
    <w:p w14:paraId="704A228D">
      <w:pPr>
        <w:jc w:val="both"/>
        <w:rPr>
          <w:rFonts w:hint="default" w:ascii="Times New Roman" w:hAnsi="Times New Roman" w:cs="Times New Roman"/>
          <w:lang w:val="en-US" w:eastAsia="zh-CN"/>
        </w:rPr>
      </w:pPr>
    </w:p>
    <w:p w14:paraId="42DF2323">
      <w:pPr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  <w:t>Key Features</w:t>
      </w:r>
    </w:p>
    <w:p w14:paraId="59020843">
      <w:pPr>
        <w:jc w:val="both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◆ High sensitivity, high resolution, low power consumption, and fast response time</w:t>
      </w:r>
    </w:p>
    <w:p w14:paraId="34289858">
      <w:pPr>
        <w:jc w:val="both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◆ Provides multiple output modes such as UART and analog voltage</w:t>
      </w:r>
    </w:p>
    <w:p w14:paraId="331B6A5C">
      <w:pPr>
        <w:jc w:val="both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◆ Temperature compensation, excellent linear output, superior stability, and long service life</w:t>
      </w:r>
    </w:p>
    <w:p w14:paraId="2D97F820">
      <w:pPr>
        <w:jc w:val="both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◆ Resistance to water vapor interference and poisoning</w:t>
      </w:r>
    </w:p>
    <w:p w14:paraId="759C6B42">
      <w:pPr>
        <w:jc w:val="both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◆ Use in online monitoring of industrial instruments</w:t>
      </w:r>
    </w:p>
    <w:p w14:paraId="275D19FD">
      <w:pPr>
        <w:jc w:val="both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◆ Monitoring of gas power generation equipment</w:t>
      </w:r>
    </w:p>
    <w:p w14:paraId="7616DB97">
      <w:pPr>
        <w:jc w:val="both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◆ Monitoring and use of industrial pipe gallery</w:t>
      </w:r>
    </w:p>
    <w:p w14:paraId="6BDE81C0">
      <w:pPr>
        <w:jc w:val="both"/>
        <w:rPr>
          <w:rFonts w:hint="default" w:ascii="Times New Roman" w:hAnsi="Times New Roman" w:cs="Times New Roman"/>
          <w:lang w:val="en-US" w:eastAsia="zh-CN"/>
        </w:rPr>
      </w:pPr>
    </w:p>
    <w:p w14:paraId="6188B6F9">
      <w:pPr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  <w:t>Main applications</w:t>
      </w:r>
    </w:p>
    <w:p w14:paraId="7FD34313">
      <w:pPr>
        <w:jc w:val="both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◆ Detection of flammable and explosive gases</w:t>
      </w:r>
    </w:p>
    <w:p w14:paraId="55AAFEF1">
      <w:pPr>
        <w:jc w:val="both"/>
        <w:rPr>
          <w:rFonts w:hint="default" w:ascii="Times New Roman" w:hAnsi="Times New Roman" w:cs="Times New Roman"/>
          <w:lang w:val="en-US" w:eastAsia="zh-CN"/>
        </w:rPr>
      </w:pPr>
    </w:p>
    <w:p w14:paraId="43C05519">
      <w:pPr>
        <w:jc w:val="both"/>
        <w:rPr>
          <w:rFonts w:hint="default" w:ascii="Times New Roman" w:hAnsi="Times New Roman" w:cs="Times New Roman"/>
          <w:lang w:val="en-US" w:eastAsia="zh-CN"/>
        </w:rPr>
      </w:pPr>
    </w:p>
    <w:p w14:paraId="007EE3B3">
      <w:pPr>
        <w:jc w:val="both"/>
        <w:rPr>
          <w:rFonts w:hint="default" w:ascii="Times New Roman" w:hAnsi="Times New Roman" w:cs="Times New Roman"/>
          <w:lang w:val="en-US" w:eastAsia="zh-CN"/>
        </w:rPr>
      </w:pPr>
    </w:p>
    <w:p w14:paraId="1DAC3E1A">
      <w:pPr>
        <w:jc w:val="both"/>
        <w:rPr>
          <w:rFonts w:hint="default" w:ascii="Times New Roman" w:hAnsi="Times New Roman" w:cs="Times New Roman"/>
          <w:lang w:val="en-US" w:eastAsia="zh-CN"/>
        </w:rPr>
      </w:pPr>
    </w:p>
    <w:p w14:paraId="54A3964C">
      <w:pPr>
        <w:jc w:val="both"/>
        <w:rPr>
          <w:rFonts w:hint="default" w:ascii="Times New Roman" w:hAnsi="Times New Roman" w:cs="Times New Roman"/>
          <w:lang w:val="en-US" w:eastAsia="zh-CN"/>
        </w:rPr>
      </w:pPr>
    </w:p>
    <w:p w14:paraId="58350584">
      <w:pPr>
        <w:jc w:val="both"/>
        <w:rPr>
          <w:rFonts w:hint="default" w:ascii="Times New Roman" w:hAnsi="Times New Roman" w:cs="Times New Roman"/>
          <w:lang w:val="en-US" w:eastAsia="zh-CN"/>
        </w:rPr>
      </w:pPr>
    </w:p>
    <w:p w14:paraId="5DDE898F">
      <w:pPr>
        <w:jc w:val="both"/>
        <w:rPr>
          <w:rFonts w:hint="default" w:ascii="Times New Roman" w:hAnsi="Times New Roman" w:cs="Times New Roman"/>
          <w:lang w:val="en-US" w:eastAsia="zh-CN"/>
        </w:rPr>
      </w:pPr>
    </w:p>
    <w:p w14:paraId="07FD3D6A">
      <w:pPr>
        <w:jc w:val="both"/>
        <w:rPr>
          <w:rFonts w:hint="default" w:ascii="Times New Roman" w:hAnsi="Times New Roman" w:cs="Times New Roman"/>
          <w:lang w:val="en-US" w:eastAsia="zh-CN"/>
        </w:rPr>
      </w:pPr>
    </w:p>
    <w:p w14:paraId="7E733468">
      <w:pPr>
        <w:jc w:val="both"/>
        <w:rPr>
          <w:rFonts w:hint="default" w:ascii="Times New Roman" w:hAnsi="Times New Roman" w:cs="Times New Roman"/>
          <w:lang w:val="en-US" w:eastAsia="zh-CN"/>
        </w:rPr>
      </w:pPr>
    </w:p>
    <w:p w14:paraId="3895BFA6">
      <w:pPr>
        <w:jc w:val="both"/>
        <w:rPr>
          <w:rFonts w:hint="default" w:ascii="Times New Roman" w:hAnsi="Times New Roman" w:cs="Times New Roman"/>
          <w:lang w:val="en-US" w:eastAsia="zh-CN"/>
        </w:rPr>
      </w:pPr>
    </w:p>
    <w:p w14:paraId="60AB6D0A">
      <w:pPr>
        <w:jc w:val="both"/>
        <w:rPr>
          <w:rFonts w:hint="default" w:ascii="Times New Roman" w:hAnsi="Times New Roman" w:cs="Times New Roman"/>
          <w:lang w:val="en-US" w:eastAsia="zh-CN"/>
        </w:rPr>
      </w:pPr>
    </w:p>
    <w:p w14:paraId="19400028">
      <w:pPr>
        <w:jc w:val="both"/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  <w:t>Technical specifications</w:t>
      </w:r>
    </w:p>
    <w:p w14:paraId="7D9C07B3">
      <w:pPr>
        <w:jc w:val="both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4110990" cy="3524250"/>
            <wp:effectExtent l="0" t="0" r="381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10990" cy="352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4F93FA">
      <w:pPr>
        <w:jc w:val="left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</w:p>
    <w:p w14:paraId="47B99FB6">
      <w:pPr>
        <w:jc w:val="left"/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  <w:t>Structural dimensions（Unit：mm）</w:t>
      </w:r>
      <w:bookmarkStart w:id="0" w:name="_GoBack"/>
      <w:bookmarkEnd w:id="0"/>
    </w:p>
    <w:p w14:paraId="633474FD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66690" cy="2077085"/>
            <wp:effectExtent l="0" t="0" r="3810" b="57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07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A4CABC">
      <w:pPr>
        <w:jc w:val="left"/>
        <w:rPr>
          <w:rFonts w:hint="default" w:ascii="Times New Roman" w:hAnsi="Times New Roman" w:cs="Times New Roman"/>
          <w:lang w:val="en-US" w:eastAsia="zh-CN"/>
        </w:rPr>
      </w:pPr>
    </w:p>
    <w:p w14:paraId="3E8D0D19">
      <w:pPr>
        <w:jc w:val="left"/>
        <w:rPr>
          <w:rFonts w:hint="default" w:ascii="Times New Roman" w:hAnsi="Times New Roman" w:cs="Times New Roman"/>
          <w:lang w:val="en-US" w:eastAsia="zh-CN"/>
        </w:rPr>
      </w:pPr>
    </w:p>
    <w:p w14:paraId="775CB016">
      <w:pPr>
        <w:jc w:val="left"/>
        <w:rPr>
          <w:rFonts w:hint="default" w:ascii="Times New Roman" w:hAnsi="Times New Roman" w:cs="Times New Roman"/>
          <w:lang w:val="en-US" w:eastAsia="zh-CN"/>
        </w:rPr>
      </w:pPr>
    </w:p>
    <w:p w14:paraId="3835A478">
      <w:pPr>
        <w:jc w:val="left"/>
        <w:rPr>
          <w:rFonts w:hint="default" w:ascii="Times New Roman" w:hAnsi="Times New Roman" w:cs="Times New Roman"/>
          <w:lang w:val="en-US" w:eastAsia="zh-CN"/>
        </w:rPr>
      </w:pPr>
    </w:p>
    <w:p w14:paraId="1C593E45">
      <w:pPr>
        <w:jc w:val="left"/>
        <w:rPr>
          <w:rFonts w:hint="default" w:ascii="Times New Roman" w:hAnsi="Times New Roman" w:cs="Times New Roman"/>
          <w:lang w:val="en-US" w:eastAsia="zh-CN"/>
        </w:rPr>
      </w:pPr>
    </w:p>
    <w:p w14:paraId="6D1A8B60">
      <w:pPr>
        <w:jc w:val="left"/>
        <w:rPr>
          <w:rFonts w:hint="default" w:ascii="Times New Roman" w:hAnsi="Times New Roman" w:cs="Times New Roman"/>
          <w:lang w:val="en-US" w:eastAsia="zh-CN"/>
        </w:rPr>
      </w:pPr>
    </w:p>
    <w:p w14:paraId="5A802797">
      <w:pPr>
        <w:jc w:val="left"/>
        <w:rPr>
          <w:rFonts w:hint="default" w:ascii="Times New Roman" w:hAnsi="Times New Roman" w:cs="Times New Roman"/>
          <w:lang w:val="en-US" w:eastAsia="zh-CN"/>
        </w:rPr>
      </w:pPr>
    </w:p>
    <w:p w14:paraId="69B95003">
      <w:pPr>
        <w:jc w:val="left"/>
        <w:rPr>
          <w:rFonts w:hint="default" w:ascii="Times New Roman" w:hAnsi="Times New Roman" w:cs="Times New Roman"/>
          <w:lang w:val="en-US" w:eastAsia="zh-CN"/>
        </w:rPr>
      </w:pPr>
    </w:p>
    <w:p w14:paraId="2D5BF57F">
      <w:pPr>
        <w:jc w:val="left"/>
        <w:rPr>
          <w:rFonts w:hint="default" w:ascii="Times New Roman" w:hAnsi="Times New Roman" w:cs="Times New Roman"/>
          <w:lang w:val="en-US" w:eastAsia="zh-CN"/>
        </w:rPr>
      </w:pPr>
    </w:p>
    <w:p w14:paraId="49874467">
      <w:pPr>
        <w:jc w:val="left"/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  <w:t>Pin definition</w:t>
      </w:r>
    </w:p>
    <w:p w14:paraId="3D114E49">
      <w:pPr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2389505" cy="2375535"/>
            <wp:effectExtent l="0" t="0" r="10795" b="1206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89505" cy="237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2343150" cy="2457450"/>
            <wp:effectExtent l="0" t="0" r="6350" b="63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3537D1">
      <w:pPr>
        <w:jc w:val="left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</w:p>
    <w:p w14:paraId="4B6BD8A8">
      <w:pPr>
        <w:jc w:val="left"/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en-US" w:eastAsia="zh-CN"/>
        </w:rPr>
        <w:t>Usage Diagram</w:t>
      </w:r>
    </w:p>
    <w:p w14:paraId="2C351657">
      <w:pPr>
        <w:jc w:val="left"/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</w:p>
    <w:p w14:paraId="463CA39E">
      <w:pPr>
        <w:jc w:val="left"/>
        <w:rPr>
          <w:rFonts w:hint="default"/>
          <w:lang w:val="en-US" w:eastAsia="zh-C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71135" cy="2707640"/>
            <wp:effectExtent l="0" t="0" r="12065" b="1016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70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0B8037">
    <w:pPr>
      <w:spacing w:beforeLines="0" w:afterLines="0"/>
      <w:rPr>
        <w:rFonts w:hint="default" w:ascii="Arial" w:hAnsi="Arial" w:eastAsia="宋体"/>
        <w:b/>
        <w:color w:val="548DD4"/>
        <w:sz w:val="20"/>
        <w:lang w:val="en-US" w:eastAsia="zh-CN"/>
      </w:rPr>
    </w:pPr>
    <w:r>
      <w:rPr>
        <w:rFonts w:hint="default" w:ascii="Arial" w:hAnsi="Arial" w:eastAsia="宋体" w:cs="Arial"/>
        <w:b/>
        <w:bCs w:val="0"/>
        <w:color w:val="366091"/>
        <w:sz w:val="20"/>
        <w:szCs w:val="20"/>
      </w:rPr>
      <w:fldChar w:fldCharType="begin"/>
    </w:r>
    <w:r>
      <w:rPr>
        <w:rFonts w:hint="default" w:ascii="Arial" w:hAnsi="Arial" w:eastAsia="宋体" w:cs="Arial"/>
        <w:b/>
        <w:bCs w:val="0"/>
        <w:color w:val="366091"/>
        <w:sz w:val="20"/>
        <w:szCs w:val="20"/>
      </w:rPr>
      <w:instrText xml:space="preserve"> HYPERLINK "Tel:86-519-89185720" </w:instrText>
    </w:r>
    <w:r>
      <w:rPr>
        <w:rFonts w:hint="default" w:ascii="Arial" w:hAnsi="Arial" w:eastAsia="宋体" w:cs="Arial"/>
        <w:b/>
        <w:bCs w:val="0"/>
        <w:color w:val="366091"/>
        <w:sz w:val="20"/>
        <w:szCs w:val="20"/>
      </w:rPr>
      <w:fldChar w:fldCharType="separate"/>
    </w:r>
    <w:r>
      <w:rPr>
        <w:rFonts w:hint="default" w:ascii="Arial" w:hAnsi="Arial" w:cs="Arial"/>
        <w:b/>
        <w:bCs w:val="0"/>
        <w:color w:val="366091"/>
        <w:sz w:val="20"/>
        <w:szCs w:val="20"/>
      </w:rPr>
      <w:t>Tel:86-519-89185720</w:t>
    </w:r>
    <w:r>
      <w:rPr>
        <w:rFonts w:hint="default" w:ascii="Arial" w:hAnsi="Arial" w:cs="Arial"/>
        <w:b/>
        <w:bCs w:val="0"/>
        <w:color w:val="366091"/>
        <w:sz w:val="20"/>
        <w:szCs w:val="20"/>
      </w:rPr>
      <w:fldChar w:fldCharType="end"/>
    </w:r>
    <w:r>
      <w:rPr>
        <w:rFonts w:hint="default" w:ascii="Arial" w:hAnsi="Arial" w:eastAsia="宋体"/>
        <w:b/>
        <w:color w:val="366091"/>
        <w:sz w:val="20"/>
      </w:rPr>
      <w:t xml:space="preserve">    E-mail:</w:t>
    </w:r>
    <w:r>
      <w:rPr>
        <w:rFonts w:hint="eastAsia" w:ascii="Arial" w:hAnsi="Arial" w:eastAsia="宋体"/>
        <w:b/>
        <w:color w:val="366091"/>
        <w:sz w:val="20"/>
        <w:lang w:val="en-US" w:eastAsia="zh-CN"/>
      </w:rPr>
      <w:t>sales@manorshi.com</w:t>
    </w:r>
    <w:r>
      <w:rPr>
        <w:rFonts w:hint="default" w:ascii="Arial" w:hAnsi="Arial" w:eastAsia="宋体"/>
        <w:b/>
        <w:color w:val="366091"/>
        <w:sz w:val="20"/>
      </w:rPr>
      <w:t xml:space="preserve">   Https://</w:t>
    </w:r>
    <w:r>
      <w:rPr>
        <w:rFonts w:hint="eastAsia" w:ascii="Arial" w:hAnsi="Arial" w:eastAsia="宋体"/>
        <w:b/>
        <w:color w:val="366091"/>
        <w:sz w:val="20"/>
        <w:lang w:val="en-US" w:eastAsia="zh-CN"/>
      </w:rPr>
      <w:t>www.manorshi.com</w:t>
    </w:r>
  </w:p>
  <w:p w14:paraId="4612B469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47E0CC">
    <w:pPr>
      <w:pStyle w:val="3"/>
      <w:pBdr>
        <w:bottom w:val="single" w:color="auto" w:sz="4" w:space="1"/>
      </w:pBdr>
      <w:rPr>
        <w:rFonts w:hint="default" w:ascii="Times New Roman" w:hAnsi="Times New Roman" w:cs="Times New Roman" w:eastAsiaTheme="minorEastAsia"/>
        <w:sz w:val="28"/>
        <w:szCs w:val="28"/>
        <w:lang w:val="en-US" w:eastAsia="zh-CN"/>
      </w:rPr>
    </w:pPr>
    <w:r>
      <w:rPr>
        <w:rFonts w:hint="eastAsia" w:eastAsiaTheme="minorEastAsia"/>
        <w:lang w:eastAsia="zh-CN"/>
      </w:rPr>
      <w:drawing>
        <wp:inline distT="0" distB="0" distL="114300" distR="114300">
          <wp:extent cx="960755" cy="298450"/>
          <wp:effectExtent l="0" t="0" r="4445" b="6350"/>
          <wp:docPr id="11" name="图片 11" descr="60eaf201-f51e-4eff-a12b-8b8e3e0bedc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1" descr="60eaf201-f51e-4eff-a12b-8b8e3e0bedc5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755" cy="298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/>
        <w:lang w:val="en-US" w:eastAsia="zh-CN"/>
      </w:rPr>
      <w:t xml:space="preserve">                                      </w:t>
    </w:r>
    <w:r>
      <w:rPr>
        <w:rFonts w:hint="default" w:ascii="Times New Roman" w:hAnsi="Times New Roman" w:cs="Times New Roman"/>
        <w:sz w:val="28"/>
        <w:szCs w:val="28"/>
        <w:lang w:val="en-US" w:eastAsia="zh-CN"/>
      </w:rPr>
      <w:t>Infrared methane gas sensor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FD6C23"/>
    <w:rsid w:val="13734599"/>
    <w:rsid w:val="1D147CC1"/>
    <w:rsid w:val="2EFD6C23"/>
    <w:rsid w:val="61B73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92</Words>
  <Characters>564</Characters>
  <Lines>0</Lines>
  <Paragraphs>0</Paragraphs>
  <TotalTime>0</TotalTime>
  <ScaleCrop>false</ScaleCrop>
  <LinksUpToDate>false</LinksUpToDate>
  <CharactersWithSpaces>643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2026-09-29T05:35:00Z</dcterms:created>
  <dc:creator>RL</dc:creator>
  <cp:lastModifiedBy>RL</cp:lastModifiedBy>
  <dcterms:modified xsi:type="dcterms:W3CDTF">2026-09-29T08:04:15Z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65C8335850BF4997B08A4D27B790E9BF_11</vt:lpwstr>
  </property>
  <property fmtid="{D5CDD505-2E9C-101B-9397-08002B2CF9AE}" pid="4" name="KSOTemplateDocerSaveRecord">
    <vt:lpwstr>eyJoZGlkIjoiYmI0YzI3N2Q1ODY1ZjRlYzZjOGVjYzU1ZDZkNmQzYzkiLCJ1c2VySWQiOiIxNDM5MDYxODMzIn0=</vt:lpwstr>
  </property>
</Properties>
</file>